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Pr="007F6DB3" w:rsidRDefault="00CD04A9" w:rsidP="00242DEA">
            <w:pPr>
              <w:ind w:left="-453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</w:p>
          <w:p w:rsidR="00CD04A9" w:rsidRPr="000F70F6" w:rsidRDefault="00CD04A9" w:rsidP="00242DEA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304BCE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Администрации Железнодорожного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242DEA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от_______________№________</w:t>
            </w: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BD0B6D" w:rsidRPr="00DD72C9" w:rsidRDefault="00BD0B6D" w:rsidP="00BD0B6D">
      <w:pPr>
        <w:jc w:val="center"/>
        <w:outlineLvl w:val="0"/>
        <w:rPr>
          <w:szCs w:val="28"/>
        </w:rPr>
      </w:pPr>
      <w:r>
        <w:rPr>
          <w:szCs w:val="28"/>
        </w:rPr>
        <w:t>Порядок</w:t>
      </w:r>
    </w:p>
    <w:p w:rsidR="00BD0B6D" w:rsidRPr="00DD72C9" w:rsidRDefault="00BD0B6D" w:rsidP="00BD0B6D">
      <w:pPr>
        <w:jc w:val="center"/>
        <w:outlineLvl w:val="0"/>
        <w:rPr>
          <w:szCs w:val="28"/>
        </w:rPr>
      </w:pPr>
      <w:r>
        <w:rPr>
          <w:szCs w:val="28"/>
        </w:rPr>
        <w:t xml:space="preserve"> осуществления</w:t>
      </w:r>
      <w:r w:rsidRPr="00DD72C9">
        <w:rPr>
          <w:szCs w:val="28"/>
        </w:rPr>
        <w:t xml:space="preserve"> ведомственного контроля в сфере закупок</w:t>
      </w:r>
    </w:p>
    <w:p w:rsidR="00BD0B6D" w:rsidRPr="00DD72C9" w:rsidRDefault="00BD0B6D" w:rsidP="00BD0B6D">
      <w:pPr>
        <w:jc w:val="center"/>
        <w:outlineLvl w:val="0"/>
        <w:rPr>
          <w:szCs w:val="28"/>
        </w:rPr>
      </w:pPr>
      <w:r w:rsidRPr="00DD72C9">
        <w:rPr>
          <w:szCs w:val="28"/>
        </w:rPr>
        <w:t>товаров, работ, услуг для обеспечения муниципальных нужд</w:t>
      </w:r>
    </w:p>
    <w:p w:rsidR="00BD0B6D" w:rsidRPr="00DD72C9" w:rsidRDefault="00BD0B6D" w:rsidP="00BD0B6D">
      <w:pPr>
        <w:jc w:val="center"/>
        <w:outlineLvl w:val="0"/>
        <w:rPr>
          <w:szCs w:val="28"/>
        </w:rPr>
      </w:pPr>
      <w:r>
        <w:rPr>
          <w:szCs w:val="28"/>
        </w:rPr>
        <w:t>в отношении подведомственных Администрации Железнодорожного</w:t>
      </w:r>
    </w:p>
    <w:p w:rsidR="00BD0B6D" w:rsidRPr="00DD72C9" w:rsidRDefault="00BD0B6D" w:rsidP="00BD0B6D">
      <w:pPr>
        <w:jc w:val="center"/>
        <w:outlineLvl w:val="0"/>
        <w:rPr>
          <w:szCs w:val="28"/>
        </w:rPr>
      </w:pPr>
      <w:r w:rsidRPr="00DD72C9">
        <w:rPr>
          <w:szCs w:val="28"/>
        </w:rPr>
        <w:t>внутригород</w:t>
      </w:r>
      <w:r>
        <w:rPr>
          <w:szCs w:val="28"/>
        </w:rPr>
        <w:t>ского района городского округа Самара учреждений</w:t>
      </w:r>
    </w:p>
    <w:p w:rsidR="00BD0B6D" w:rsidRPr="00DD72C9" w:rsidRDefault="00BD0B6D" w:rsidP="00BD0B6D">
      <w:pPr>
        <w:jc w:val="center"/>
        <w:outlineLvl w:val="0"/>
        <w:rPr>
          <w:szCs w:val="28"/>
        </w:rPr>
      </w:pP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 xml:space="preserve">1. </w:t>
      </w:r>
      <w:r>
        <w:rPr>
          <w:szCs w:val="28"/>
        </w:rPr>
        <w:t xml:space="preserve">Настоящий </w:t>
      </w:r>
      <w:r w:rsidRPr="004642B2">
        <w:rPr>
          <w:szCs w:val="28"/>
        </w:rPr>
        <w:t xml:space="preserve">Порядок </w:t>
      </w:r>
      <w:r w:rsidRPr="0080346D">
        <w:rPr>
          <w:szCs w:val="28"/>
        </w:rPr>
        <w:t>устанавливает правила осуществления ведомственного</w:t>
      </w:r>
      <w:r>
        <w:rPr>
          <w:szCs w:val="28"/>
        </w:rPr>
        <w:t xml:space="preserve"> </w:t>
      </w:r>
      <w:r w:rsidRPr="004642B2">
        <w:rPr>
          <w:szCs w:val="28"/>
        </w:rPr>
        <w:t>контроля в сфере закупок товаров, работ, услуг для обеспечения муниципальных нужд (</w:t>
      </w:r>
      <w:r>
        <w:rPr>
          <w:szCs w:val="28"/>
        </w:rPr>
        <w:t>далее - ведомственный контроль) Администрацией</w:t>
      </w:r>
      <w:r w:rsidRPr="0080346D">
        <w:rPr>
          <w:szCs w:val="28"/>
        </w:rPr>
        <w:t xml:space="preserve"> Железнодорожного</w:t>
      </w:r>
      <w:r>
        <w:rPr>
          <w:szCs w:val="28"/>
        </w:rPr>
        <w:t xml:space="preserve"> </w:t>
      </w:r>
      <w:r w:rsidRPr="0080346D">
        <w:rPr>
          <w:szCs w:val="28"/>
        </w:rPr>
        <w:t>внутригородского района городского округа Самара</w:t>
      </w:r>
      <w:r>
        <w:rPr>
          <w:szCs w:val="28"/>
        </w:rPr>
        <w:t xml:space="preserve"> (далее - Администрация)</w:t>
      </w:r>
      <w:r w:rsidRPr="0080346D">
        <w:rPr>
          <w:szCs w:val="28"/>
        </w:rPr>
        <w:t xml:space="preserve"> </w:t>
      </w:r>
      <w:r w:rsidRPr="004642B2">
        <w:rPr>
          <w:szCs w:val="28"/>
        </w:rPr>
        <w:t>за соблюдением законодательных и иных нормативных правовых актов о контрактной системе в сфере закупок товаров,</w:t>
      </w:r>
      <w:r>
        <w:rPr>
          <w:szCs w:val="28"/>
        </w:rPr>
        <w:t xml:space="preserve"> работ, услуг для обеспечения</w:t>
      </w:r>
      <w:r w:rsidRPr="004642B2">
        <w:rPr>
          <w:szCs w:val="28"/>
        </w:rPr>
        <w:t xml:space="preserve"> муниципальных нужд (далее - законодательство РФ о контрактной системе в сфере закупок) в отношении подведомственных Администрации учреждений.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2. Субъектами ведомственного контроля являются подведомственные Администрации заказчики, их контрактные службы, контрактные управляющие, комиссии и иные должностные лица (далее - су</w:t>
      </w:r>
      <w:r>
        <w:rPr>
          <w:szCs w:val="28"/>
        </w:rPr>
        <w:t>бъекты ведомственного контроля)</w:t>
      </w:r>
      <w:r w:rsidRPr="004642B2">
        <w:rPr>
          <w:szCs w:val="28"/>
        </w:rPr>
        <w:t>, осуществляющие закупки в соответствии с ч. 1 и ч. 2.1 ст. 15 Закона 44-ФЗ</w:t>
      </w:r>
      <w:r w:rsidRPr="004642B2">
        <w:t xml:space="preserve"> </w:t>
      </w:r>
      <w:r>
        <w:t>«</w:t>
      </w:r>
      <w:r>
        <w:rPr>
          <w:szCs w:val="28"/>
        </w:rPr>
        <w:t>О</w:t>
      </w:r>
      <w:r w:rsidRPr="0080346D">
        <w:rPr>
          <w:szCs w:val="28"/>
        </w:rPr>
        <w:t xml:space="preserve"> контрактной системе</w:t>
      </w:r>
      <w:r>
        <w:rPr>
          <w:szCs w:val="28"/>
        </w:rPr>
        <w:t xml:space="preserve"> </w:t>
      </w:r>
      <w:r w:rsidRPr="0080346D">
        <w:rPr>
          <w:szCs w:val="28"/>
        </w:rPr>
        <w:t>в сфере закупок товаров, работ, услуг для обеспечения</w:t>
      </w:r>
      <w:r>
        <w:rPr>
          <w:szCs w:val="28"/>
        </w:rPr>
        <w:t xml:space="preserve"> </w:t>
      </w:r>
      <w:r w:rsidRPr="0080346D">
        <w:rPr>
          <w:szCs w:val="28"/>
        </w:rPr>
        <w:t>государственных и муниципальных нужд</w:t>
      </w:r>
      <w:r>
        <w:rPr>
          <w:szCs w:val="28"/>
        </w:rPr>
        <w:t>»</w:t>
      </w:r>
      <w:r w:rsidRPr="004642B2">
        <w:rPr>
          <w:szCs w:val="28"/>
        </w:rPr>
        <w:t xml:space="preserve"> (далее - подведомственные заказчики).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3. Предметом ведомственного контроля является соблюдение подведомственными Администрации заказчиками (в том числе их контрактными службами, контрактными управляющими, комиссиями и иными должностными лицами) требований законодательства РФ о контрактной системе в сфере закупок и иных нормативных правовых актов о контрактной системе в сфере закупок товаров, работ, услуг для обеспечения муниципальных нужд Железнодорожного внутригородского района городского округа Самара.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4. При осуществлении ведомственного контроля Администрация проводит проверку соблюдения законодательства РФ о контрактной системе в сфере закупок, в том числе: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б) соблюдения требований к обоснованию закупок и обоснованности закупок;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в) соблюдения требований о нормировании в сфере закупок;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г) правильности определения и обоснования начальной</w:t>
      </w:r>
      <w:r>
        <w:rPr>
          <w:szCs w:val="28"/>
        </w:rPr>
        <w:t xml:space="preserve"> (максимальной) цены контракта и </w:t>
      </w:r>
      <w:r w:rsidRPr="003D49B6">
        <w:rPr>
          <w:szCs w:val="28"/>
        </w:rPr>
        <w:t xml:space="preserve">в предусмотренных законом случаях о закупках </w:t>
      </w:r>
      <w:r w:rsidRPr="004642B2">
        <w:rPr>
          <w:szCs w:val="28"/>
        </w:rPr>
        <w:t xml:space="preserve">цены </w:t>
      </w:r>
      <w:proofErr w:type="gramStart"/>
      <w:r w:rsidRPr="004642B2">
        <w:rPr>
          <w:szCs w:val="28"/>
        </w:rPr>
        <w:t>контракта</w:t>
      </w:r>
      <w:proofErr w:type="gramEnd"/>
      <w:r w:rsidRPr="004642B2">
        <w:rPr>
          <w:szCs w:val="28"/>
        </w:rPr>
        <w:t xml:space="preserve">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д)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и) соблюдения требований по определению поставщика (подрядчика, исполнителя);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к)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л) соответствия поставленного товара, выполненной работы (ее результата) или оказанной услуги условиям контракта;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м)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н)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5. Для осуществления ведомственного контроля орган ведомственного контроля назначает должностных лиц, уполномоченных на осуществление ведомственного контроля (далее - должностные лица).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6. Мероприятия по ведомственному контролю осуществляются в форме проведения плановых и внеплановых проверок (далее - проверки).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 xml:space="preserve">Проверки осуществляются в форме камеральных </w:t>
      </w:r>
      <w:r>
        <w:rPr>
          <w:szCs w:val="28"/>
        </w:rPr>
        <w:t xml:space="preserve">и выездных </w:t>
      </w:r>
      <w:r w:rsidRPr="004642B2">
        <w:rPr>
          <w:szCs w:val="28"/>
        </w:rPr>
        <w:t>проверок.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7. Плановые проверки проводятся в соответствии с планом проверок, утвержденным распоряжением Администрации.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8. План проверок должен содержать следующие сведения: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1) наименование местонахождения органа ведомственного контроля;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2) наименование, ИНН, адрес местонахождения субъекта ведомственного контроля, в отношении которого принято решение о проведении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3) цель и основания проведения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4) месяц начала проведения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5) срок проведения проверки.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9. План проверок утверждается</w:t>
      </w:r>
      <w:r>
        <w:rPr>
          <w:szCs w:val="28"/>
        </w:rPr>
        <w:t xml:space="preserve"> распоряжением Администрации</w:t>
      </w:r>
      <w:r w:rsidRPr="004642B2">
        <w:rPr>
          <w:szCs w:val="28"/>
        </w:rPr>
        <w:t xml:space="preserve"> на очередной календарный год не позднее 15 декабря года, предшествующего году, на который разрабатывается такой план. Указанный план доводится под роспись до руководителей субъектов ведомственного контроля. Внесение изменений в план проверок допускается не позднее чем за месяц до начала проведения проверки, в отношении которой вносятся такие изменения.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10. Проект плана проверок формируется с учетом периодичности проведения проверок (не чаще 1 раза в шесть месяцев в отношении одного субъекта ведомственного контроля и одного предмета проверки).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Формирование плана проверок осуществляется с учетом информации о планируемых (проводимых) Администрацией проверках в целях исключения дублирования деятельности по контролю.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11. План проверок размещается на официальном сайте Администрации в информационно-телекоммуникационной сети "Интернет" не позднее 5 рабочих дней с момента его утверждения.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12. Назначение проверки оформляется распоряжением Администрации.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13. Распоряжение о проведении плановой проверки должно содержать следующие сведения: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1) наименование органа ведомственного контроля;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2) состав должностных лиц с указанием их фамилии, имени, отчества и должности;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3) предмет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4) цель и основания проведения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5) дату начала и дату окончания проведения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6) проверяемый период;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7) сроки, в течение которых составляется акт по результатам проведения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8) наименование субъекта ведомственного контроля.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14. Орган ведомственного контроля уведомляет субъект ведомственного контроля о проведении плановой проверки путем направления уведомления о проведении такой проверки (далее - уведомление).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15. Уведомление должно содержать следующую информацию: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а) наименование субъекта ведомственного контроля, которому адресовано уведомление;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б) предмет плановой проверки (проверяемые вопросы), в том числе период времени, за который проверяется деятельность заказчика;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в) дата начала и дата окончания проведения плановой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г) перечень должностных лиц, уполномоченных на осуществление плановой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д) запрос о предоставлении документов, информации, необходимых для осуществления плановой проверки, срок их предоставления.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16. Плановая проверка при осуществлении ведомственного контроля проводится в срок, не превышающий один месяц.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В исключительных случаях, связанных с необходимостью проверки большого количества документов, невозможностью предоставления документов в установленный срок, срок плановой проверки продлевается не более одного раза и общий срок проведения плановой проверки не должен превышать два месяца.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17. Внеплановые проверки проводятся на основании информации о нарушении законодательства РФ и иных нормативных правовых актов о контрактной системе в сфере закупок товаров, работ, услуг для обеспечения муниципальных нужд Железнодорожного внутригородского района.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18. Назначение внеплановой проверки оформляется распоряжением Администрации в порядке, предусмотренном пунктом 13 настоящего Порядка.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19. Внеплановая проверка проводится в срок, не превышающий один месяц. Непосредственно срок проведения внеплановой проверки определяется распоряжением Администрации.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В исключительных случаях, связанных с необходимостью проверки большого количества документов, невозможностью предоставления документов в установленный срок, срок внеплановой проверки продлевается не более одного раза и общий срок проведения внеплановой проверки не должен превышать два месяца.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20. По результатам проведения проверок составляется акт проверки, который подписывается всеми должностными лицами, которые принимали участие в проверке, и представляется руководителю органа ведомственного контроля или лицу, его замещающему.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21. Акт проверки состоит из вводной, мотивировочной и резолютивной частей.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Вводная часть акта проверки должна содержать: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1) номер, дату и место составления акта;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2) дату и номер распоряжения курирующего заместителя главы о проведении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3) основания, цели и сроки осуществления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4) период проведения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5) предмет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6) фамилии, имена, отчества, наименования должностей лиц, уполномоченных на осуществление ведомственного контроля;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7) наименование, адрес местонахождения субъекта ведомственного контроля, в отношении закупок которого принято решение о проведении проверки.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В мотивировочной части акта проверки должны быть указаны: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1) обстоятельства, установленные при проведении проверки и обосновывающие выводы должностных лиц;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2) нормы законодательства, которыми руководствовались должностные лица при принятии решения;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3) сведения о нарушении требований законодательства о контрактной системе в сфере закупок, оценка этих нарушений.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Резолютивная часть акта проверки должна содержать выводы должностных лиц о наличии (отсутствии) нарушений законодательства РФ о контрактной системе в сфере закупок со ссылками на конкретные нормы законодательства о контрактной системе в сфере закупок, нарушение которых было установлено в результате проведения проверки.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22. Копия акта проверки с сопроводительным письмом за подписью руководителя органа ведомственного контроля вручается под роспись уполномоченному лицу субъекта ведомственного контроля, в отношении которого проведена проверка, в течение трех рабочих дней с даты его подписания.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23. Лица, в отношении которых проведена проверка, в течение пяти рабочих дней со дня получения копии акта проверки имеют право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24. В случае выявления по результатам проверок фактов нарушений законодательства РФ и иных нормативных правовых актов о контрактной системе в сфере закупок орган ведомс</w:t>
      </w:r>
      <w:r>
        <w:rPr>
          <w:szCs w:val="28"/>
        </w:rPr>
        <w:t>твенного контроля в течение десяти</w:t>
      </w:r>
      <w:r w:rsidRPr="004642B2">
        <w:rPr>
          <w:szCs w:val="28"/>
        </w:rPr>
        <w:t xml:space="preserve"> рабочих дней передает информацию в Департамент экономического развития, инвестиций и торговли Администрации городского округа Самара,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25. При проведении проверок должностные лица имеют право: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а) на беспрепятственный доступ на территорию, в помещения, здания субъекта ведомственного контроля (в необходимых случаях на фотосъемку, видеозапись, копирование документов) при предъявлении ими служебных удостоверений и (или) копии распоряжения Администрации о проведении проверки;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б) на истребование необходимых для проведения проверок документов;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проводимых проверок.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В случае отказа от предоставления указанных объяснений, справок, сведений и копий документов в акте проверки делается соответствующая запись.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26. Должностные лица обязаны: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а) обеспечить сохранность и возврат полученных оригиналов документов;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б) обеспечить конфиденциальность ставших известными им сведений, связанных с деятельностью субъекта ведомственного контроля, составляющих служебную или иную тайну, охраняемую законом;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в) не вмешиваться в текущую финансово-хозяйственную деятельность субъекта ведомственного контроля.</w:t>
      </w:r>
    </w:p>
    <w:p w:rsidR="00BD0B6D" w:rsidRPr="004642B2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27. Должностные лица при проведении проверок несут ответственность за качество проводимых проверок, достоверность информации и выводов, содержащихся в актах, их соответствие действующему законодательству РФ о контрактной системе в сфере закупок.</w:t>
      </w:r>
    </w:p>
    <w:p w:rsidR="00BD0B6D" w:rsidRPr="00A04C30" w:rsidRDefault="00BD0B6D" w:rsidP="00BD0B6D">
      <w:pPr>
        <w:jc w:val="both"/>
        <w:outlineLvl w:val="0"/>
        <w:rPr>
          <w:szCs w:val="28"/>
        </w:rPr>
      </w:pPr>
      <w:r w:rsidRPr="004642B2">
        <w:rPr>
          <w:szCs w:val="28"/>
        </w:rPr>
        <w:t>28. Материалы по результатам проверок, а также иные документы и информация, полученные (разработанные) в ходе проведения проверок, хранятся органом ведомственного контроля не менее 3 лет.</w:t>
      </w: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  <w:r>
        <w:rPr>
          <w:szCs w:val="28"/>
        </w:rPr>
        <w:t xml:space="preserve">              Заместитель Главы </w:t>
      </w:r>
    </w:p>
    <w:p w:rsidR="00BD0B6D" w:rsidRDefault="00BD0B6D" w:rsidP="00BD0B6D">
      <w:pPr>
        <w:contextualSpacing/>
        <w:jc w:val="both"/>
        <w:rPr>
          <w:szCs w:val="28"/>
        </w:rPr>
      </w:pPr>
      <w:r>
        <w:rPr>
          <w:szCs w:val="28"/>
        </w:rPr>
        <w:t>Железнодорожного внутригородского</w:t>
      </w:r>
    </w:p>
    <w:p w:rsidR="00BD0B6D" w:rsidRDefault="00BD0B6D" w:rsidP="00BD0B6D">
      <w:pPr>
        <w:contextualSpacing/>
        <w:jc w:val="both"/>
        <w:rPr>
          <w:szCs w:val="28"/>
        </w:rPr>
      </w:pPr>
      <w:r>
        <w:rPr>
          <w:szCs w:val="28"/>
        </w:rPr>
        <w:t xml:space="preserve">    района городского округа Самара                                              И.М. Власова </w:t>
      </w: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Default="00BD0B6D" w:rsidP="00BD0B6D">
      <w:pPr>
        <w:contextualSpacing/>
        <w:jc w:val="both"/>
        <w:rPr>
          <w:szCs w:val="28"/>
        </w:rPr>
      </w:pPr>
      <w:bookmarkStart w:id="0" w:name="_GoBack"/>
      <w:bookmarkEnd w:id="0"/>
    </w:p>
    <w:p w:rsidR="00BD0B6D" w:rsidRDefault="00BD0B6D" w:rsidP="00BD0B6D">
      <w:pPr>
        <w:tabs>
          <w:tab w:val="left" w:pos="6390"/>
        </w:tabs>
        <w:contextualSpacing/>
        <w:jc w:val="both"/>
        <w:rPr>
          <w:szCs w:val="28"/>
        </w:rPr>
      </w:pPr>
      <w:r>
        <w:rPr>
          <w:szCs w:val="28"/>
        </w:rPr>
        <w:tab/>
      </w:r>
    </w:p>
    <w:p w:rsidR="00BD0B6D" w:rsidRDefault="00BD0B6D" w:rsidP="00BD0B6D">
      <w:pPr>
        <w:contextualSpacing/>
        <w:jc w:val="both"/>
        <w:rPr>
          <w:szCs w:val="28"/>
        </w:rPr>
      </w:pPr>
    </w:p>
    <w:p w:rsidR="00BD0B6D" w:rsidRPr="00424532" w:rsidRDefault="00BD0B6D" w:rsidP="00BD0B6D">
      <w:pPr>
        <w:jc w:val="both"/>
        <w:rPr>
          <w:sz w:val="24"/>
          <w:szCs w:val="24"/>
          <w:lang w:eastAsia="ru-RU"/>
        </w:rPr>
      </w:pPr>
      <w:r w:rsidRPr="00424532">
        <w:rPr>
          <w:sz w:val="24"/>
          <w:szCs w:val="24"/>
          <w:lang w:eastAsia="ru-RU"/>
        </w:rPr>
        <w:t>Коновалова Юлия Владимировна</w:t>
      </w:r>
    </w:p>
    <w:p w:rsidR="00BD0B6D" w:rsidRPr="004C2975" w:rsidRDefault="00BD0B6D" w:rsidP="00BD0B6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+7 (846) 339-01-40</w:t>
      </w:r>
    </w:p>
    <w:p w:rsidR="000F70F6" w:rsidRPr="007F6DB3" w:rsidRDefault="000F70F6" w:rsidP="00BD0B6D">
      <w:pPr>
        <w:jc w:val="center"/>
        <w:outlineLvl w:val="0"/>
        <w:rPr>
          <w:sz w:val="24"/>
          <w:szCs w:val="24"/>
        </w:rPr>
      </w:pPr>
    </w:p>
    <w:sectPr w:rsidR="000F70F6" w:rsidRPr="007F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C5515"/>
    <w:rsid w:val="000F70F6"/>
    <w:rsid w:val="002038EC"/>
    <w:rsid w:val="00304BCE"/>
    <w:rsid w:val="007F216C"/>
    <w:rsid w:val="007F6DB3"/>
    <w:rsid w:val="0092397B"/>
    <w:rsid w:val="00A5215F"/>
    <w:rsid w:val="00A8217F"/>
    <w:rsid w:val="00BD0B6D"/>
    <w:rsid w:val="00CB3157"/>
    <w:rsid w:val="00CD04A9"/>
    <w:rsid w:val="00CD5FE2"/>
    <w:rsid w:val="00D1568B"/>
    <w:rsid w:val="00E0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72DA"/>
  <w15:docId w15:val="{52247528-D808-4E96-85FA-C9C408D6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Александрова Елена Глебовна</cp:lastModifiedBy>
  <cp:revision>11</cp:revision>
  <dcterms:created xsi:type="dcterms:W3CDTF">2019-08-27T07:01:00Z</dcterms:created>
  <dcterms:modified xsi:type="dcterms:W3CDTF">2020-11-17T07:22:00Z</dcterms:modified>
</cp:coreProperties>
</file>